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3517" w14:textId="77777777" w:rsidR="00533209" w:rsidRPr="0053456A" w:rsidRDefault="00533209" w:rsidP="00533209">
      <w:pPr>
        <w:pStyle w:val="Default"/>
        <w:rPr>
          <w:rFonts w:ascii="Century Gothic" w:hAnsi="Century Gothic"/>
          <w:sz w:val="23"/>
          <w:szCs w:val="23"/>
        </w:rPr>
      </w:pPr>
      <w:r w:rsidRPr="0053456A">
        <w:rPr>
          <w:rFonts w:ascii="Century Gothic" w:hAnsi="Century Gothic"/>
          <w:b/>
          <w:bCs/>
          <w:sz w:val="23"/>
          <w:szCs w:val="23"/>
        </w:rPr>
        <w:t xml:space="preserve">Modèle de décision </w:t>
      </w:r>
    </w:p>
    <w:p w14:paraId="595C6BDA" w14:textId="77777777" w:rsidR="00533209" w:rsidRPr="0053456A" w:rsidRDefault="00533209" w:rsidP="00533209">
      <w:pPr>
        <w:pStyle w:val="Default"/>
        <w:rPr>
          <w:rFonts w:ascii="Century Gothic" w:hAnsi="Century Gothic"/>
          <w:sz w:val="22"/>
          <w:szCs w:val="22"/>
        </w:rPr>
      </w:pPr>
      <w:r w:rsidRPr="0053456A">
        <w:rPr>
          <w:rFonts w:ascii="Century Gothic" w:hAnsi="Century Gothic"/>
          <w:sz w:val="22"/>
          <w:szCs w:val="22"/>
        </w:rPr>
        <w:t xml:space="preserve">Fixant le montant de la redevance pour occupation du domaine public par les ouvrages des réseaux publics de transport et de distribution d’électricité </w:t>
      </w:r>
    </w:p>
    <w:p w14:paraId="45EA7405" w14:textId="77777777" w:rsidR="00533209" w:rsidRPr="0053456A" w:rsidRDefault="00533209" w:rsidP="00533209">
      <w:pPr>
        <w:pStyle w:val="Default"/>
        <w:rPr>
          <w:rFonts w:ascii="Century Gothic" w:hAnsi="Century Gothic"/>
          <w:sz w:val="22"/>
          <w:szCs w:val="22"/>
        </w:rPr>
      </w:pPr>
    </w:p>
    <w:p w14:paraId="7E65B21A" w14:textId="77777777" w:rsidR="00533209" w:rsidRPr="0053456A" w:rsidRDefault="00533209" w:rsidP="00533209">
      <w:pPr>
        <w:pStyle w:val="Default"/>
        <w:rPr>
          <w:rFonts w:ascii="Century Gothic" w:hAnsi="Century Gothic"/>
          <w:sz w:val="22"/>
          <w:szCs w:val="22"/>
        </w:rPr>
      </w:pPr>
    </w:p>
    <w:p w14:paraId="5783CEA0" w14:textId="77777777" w:rsidR="00480CAE" w:rsidRPr="0053456A" w:rsidRDefault="00480CAE" w:rsidP="00480CAE">
      <w:pPr>
        <w:pStyle w:val="Default"/>
        <w:rPr>
          <w:rFonts w:ascii="Century Gothic" w:hAnsi="Century Gothic"/>
          <w:sz w:val="22"/>
          <w:szCs w:val="22"/>
        </w:rPr>
      </w:pPr>
      <w:r w:rsidRPr="0053456A">
        <w:rPr>
          <w:rFonts w:ascii="Century Gothic" w:hAnsi="Century Gothic"/>
          <w:b/>
          <w:bCs/>
          <w:sz w:val="22"/>
          <w:szCs w:val="22"/>
        </w:rPr>
        <w:t>Vu</w:t>
      </w:r>
      <w:r w:rsidRPr="0053456A">
        <w:rPr>
          <w:rFonts w:ascii="Century Gothic" w:hAnsi="Century Gothic"/>
          <w:sz w:val="22"/>
          <w:szCs w:val="22"/>
        </w:rPr>
        <w:t xml:space="preserve"> les articles L. 2122-22, 2° et L. 2333-84 du code général des collectivités territoriales ;</w:t>
      </w:r>
    </w:p>
    <w:p w14:paraId="769ABBDE" w14:textId="7C6870AD" w:rsidR="00480CAE" w:rsidRPr="0053456A" w:rsidRDefault="00480CAE" w:rsidP="00480CAE">
      <w:pPr>
        <w:pStyle w:val="Default"/>
        <w:rPr>
          <w:rFonts w:ascii="Century Gothic" w:hAnsi="Century Gothic"/>
          <w:sz w:val="22"/>
          <w:szCs w:val="22"/>
        </w:rPr>
      </w:pPr>
      <w:r w:rsidRPr="0053456A">
        <w:rPr>
          <w:rFonts w:ascii="Century Gothic" w:hAnsi="Century Gothic"/>
          <w:b/>
          <w:bCs/>
          <w:sz w:val="22"/>
          <w:szCs w:val="22"/>
        </w:rPr>
        <w:t>Vu</w:t>
      </w:r>
      <w:r w:rsidRPr="0053456A">
        <w:rPr>
          <w:rFonts w:ascii="Century Gothic" w:hAnsi="Century Gothic"/>
          <w:sz w:val="22"/>
          <w:szCs w:val="22"/>
        </w:rPr>
        <w:t xml:space="preserve"> la délibération du Conseil municipal en date du …</w:t>
      </w:r>
      <w:r w:rsidR="00AF7AE6">
        <w:rPr>
          <w:rFonts w:ascii="Century Gothic" w:hAnsi="Century Gothic"/>
          <w:sz w:val="22"/>
          <w:szCs w:val="22"/>
        </w:rPr>
        <w:t xml:space="preserve">………. </w:t>
      </w:r>
      <w:r w:rsidRPr="0053456A">
        <w:rPr>
          <w:rFonts w:ascii="Century Gothic" w:hAnsi="Century Gothic"/>
          <w:sz w:val="22"/>
          <w:szCs w:val="22"/>
        </w:rPr>
        <w:t>autorisant le Maire, pour la durée de son mandat, à fixer les droits à caractère non fiscal prévus au profit de la Commune, dans les limites autorisées par les lois et règlements qui régissent ces droits ;</w:t>
      </w:r>
    </w:p>
    <w:p w14:paraId="29263B7F" w14:textId="3AD245C2" w:rsidR="00480CAE" w:rsidRPr="0053456A" w:rsidRDefault="00480CAE" w:rsidP="00480CAE">
      <w:pPr>
        <w:pStyle w:val="Default"/>
        <w:rPr>
          <w:rFonts w:ascii="Century Gothic" w:hAnsi="Century Gothic"/>
          <w:sz w:val="22"/>
          <w:szCs w:val="22"/>
        </w:rPr>
      </w:pPr>
      <w:r w:rsidRPr="0053456A">
        <w:rPr>
          <w:rFonts w:ascii="Century Gothic" w:hAnsi="Century Gothic"/>
          <w:b/>
          <w:bCs/>
          <w:sz w:val="22"/>
          <w:szCs w:val="22"/>
        </w:rPr>
        <w:t>Vu</w:t>
      </w:r>
      <w:r w:rsidRPr="0053456A">
        <w:rPr>
          <w:rFonts w:ascii="Century Gothic" w:hAnsi="Century Gothic"/>
          <w:sz w:val="22"/>
          <w:szCs w:val="22"/>
        </w:rPr>
        <w:t xml:space="preserve"> les articles R 2333-105 et suivants du Code général des collectivités territoriales relatives au calcul des redevances pour occupation du domaine public par les ouvrages des réseaux publics de transport et de distribution d’électricité.</w:t>
      </w:r>
    </w:p>
    <w:p w14:paraId="2FCAED6F" w14:textId="77777777" w:rsidR="00480CAE" w:rsidRPr="0053456A" w:rsidRDefault="00480CAE" w:rsidP="00480CAE">
      <w:pPr>
        <w:pStyle w:val="Default"/>
        <w:rPr>
          <w:rFonts w:ascii="Century Gothic" w:hAnsi="Century Gothic"/>
          <w:sz w:val="22"/>
          <w:szCs w:val="22"/>
        </w:rPr>
      </w:pPr>
    </w:p>
    <w:p w14:paraId="1CEB5926" w14:textId="7E41101F" w:rsidR="00E53A02" w:rsidRPr="0053456A" w:rsidRDefault="00480CAE" w:rsidP="00480CAE">
      <w:pPr>
        <w:pStyle w:val="Default"/>
        <w:rPr>
          <w:rFonts w:ascii="Century Gothic" w:hAnsi="Century Gothic"/>
          <w:sz w:val="22"/>
          <w:szCs w:val="22"/>
        </w:rPr>
      </w:pPr>
      <w:r w:rsidRPr="0053456A">
        <w:rPr>
          <w:rFonts w:ascii="Century Gothic" w:hAnsi="Century Gothic"/>
          <w:b/>
          <w:bCs/>
          <w:sz w:val="22"/>
          <w:szCs w:val="22"/>
        </w:rPr>
        <w:t>Article 1</w:t>
      </w:r>
      <w:r w:rsidRPr="0053456A">
        <w:rPr>
          <w:rFonts w:ascii="Century Gothic" w:hAnsi="Century Gothic"/>
          <w:sz w:val="22"/>
          <w:szCs w:val="22"/>
        </w:rPr>
        <w:t xml:space="preserve"> - Le montant de la redevance citée en objet est calculé à partir du seuil de la population totale de la commune issu du</w:t>
      </w:r>
      <w:r w:rsidR="00AF7AE6">
        <w:rPr>
          <w:rFonts w:ascii="Century Gothic" w:hAnsi="Century Gothic"/>
          <w:sz w:val="22"/>
          <w:szCs w:val="22"/>
        </w:rPr>
        <w:t xml:space="preserve"> dernier</w:t>
      </w:r>
      <w:r w:rsidRPr="0053456A">
        <w:rPr>
          <w:rFonts w:ascii="Century Gothic" w:hAnsi="Century Gothic"/>
          <w:sz w:val="22"/>
          <w:szCs w:val="22"/>
        </w:rPr>
        <w:t xml:space="preserve"> recensement en vigueur. Il est par ailleurs fixé au taux maximum selon la règle de valorisation définie par les articles R. 2333-105 et suivants visés ci-dessus et de l’indication du ministère de l’écologie, du développement durable, des transports et du logement de décider de publier les indices et index BTP sous forme d’avis au Journal officiel de la République Française, soit un taux de revalorisation de </w:t>
      </w:r>
      <w:r w:rsidR="00AF7AE6">
        <w:rPr>
          <w:rFonts w:ascii="Century Gothic" w:hAnsi="Century Gothic"/>
          <w:sz w:val="22"/>
          <w:szCs w:val="22"/>
        </w:rPr>
        <w:t>59,83</w:t>
      </w:r>
      <w:r w:rsidRPr="0053456A">
        <w:rPr>
          <w:rFonts w:ascii="Century Gothic" w:hAnsi="Century Gothic"/>
          <w:sz w:val="22"/>
          <w:szCs w:val="22"/>
        </w:rPr>
        <w:t xml:space="preserve"> %, tenant compte des revalorisations successives depuis l’année suivant la parution du décret précité, applicable à la formule de calcul qui en est issue.</w:t>
      </w:r>
    </w:p>
    <w:p w14:paraId="0D0D969C" w14:textId="77777777" w:rsidR="00E53A02" w:rsidRPr="0053456A" w:rsidRDefault="00E53A02" w:rsidP="00E53A02">
      <w:pPr>
        <w:pStyle w:val="Default"/>
        <w:rPr>
          <w:rFonts w:ascii="Century Gothic" w:hAnsi="Century Gothic"/>
          <w:sz w:val="22"/>
          <w:szCs w:val="22"/>
        </w:rPr>
      </w:pPr>
    </w:p>
    <w:p w14:paraId="46BAF592" w14:textId="17037984" w:rsidR="00533209" w:rsidRPr="0053456A" w:rsidRDefault="00533209" w:rsidP="00E53A02">
      <w:pPr>
        <w:pStyle w:val="Default"/>
        <w:rPr>
          <w:rFonts w:ascii="Century Gothic" w:hAnsi="Century Gothic"/>
          <w:color w:val="auto"/>
          <w:sz w:val="22"/>
          <w:szCs w:val="22"/>
        </w:rPr>
      </w:pPr>
      <w:r w:rsidRPr="0053456A">
        <w:rPr>
          <w:rFonts w:ascii="Century Gothic" w:hAnsi="Century Gothic"/>
          <w:b/>
          <w:bCs/>
          <w:color w:val="auto"/>
          <w:sz w:val="22"/>
          <w:szCs w:val="22"/>
        </w:rPr>
        <w:t>Article 2</w:t>
      </w:r>
      <w:r w:rsidRPr="0053456A">
        <w:rPr>
          <w:rFonts w:ascii="Century Gothic" w:hAnsi="Century Gothic"/>
          <w:color w:val="auto"/>
          <w:sz w:val="22"/>
          <w:szCs w:val="22"/>
        </w:rPr>
        <w:t xml:space="preserve"> - M. le … et M. le Trésorier de … sont chargés, chacun en ce qui le concerne, de l’exécution de la présente décision. </w:t>
      </w:r>
    </w:p>
    <w:p w14:paraId="7B598DA6" w14:textId="359C0B32" w:rsidR="00480CAE" w:rsidRPr="0053456A" w:rsidRDefault="00480CAE" w:rsidP="00E53A02">
      <w:pPr>
        <w:pStyle w:val="Default"/>
        <w:rPr>
          <w:rFonts w:ascii="Century Gothic" w:hAnsi="Century Gothic"/>
          <w:color w:val="auto"/>
          <w:sz w:val="22"/>
          <w:szCs w:val="22"/>
        </w:rPr>
      </w:pPr>
    </w:p>
    <w:p w14:paraId="3E665A9A" w14:textId="77AE8CD3" w:rsidR="00480CAE" w:rsidRPr="0053456A" w:rsidRDefault="00480CAE" w:rsidP="00E53A02">
      <w:pPr>
        <w:pStyle w:val="Default"/>
        <w:rPr>
          <w:rFonts w:ascii="Century Gothic" w:hAnsi="Century Gothic"/>
          <w:color w:val="auto"/>
          <w:sz w:val="22"/>
          <w:szCs w:val="22"/>
        </w:rPr>
      </w:pPr>
    </w:p>
    <w:p w14:paraId="7E5D7468" w14:textId="77777777" w:rsidR="00480CAE" w:rsidRPr="0053456A" w:rsidRDefault="00480CAE" w:rsidP="00E53A02">
      <w:pPr>
        <w:pStyle w:val="Default"/>
        <w:rPr>
          <w:rFonts w:ascii="Century Gothic" w:hAnsi="Century Gothic"/>
          <w:color w:val="auto"/>
          <w:sz w:val="22"/>
          <w:szCs w:val="22"/>
        </w:rPr>
      </w:pPr>
    </w:p>
    <w:p w14:paraId="0D6BB510" w14:textId="6692862D" w:rsidR="00533209" w:rsidRPr="0053456A" w:rsidRDefault="00533209" w:rsidP="00533209">
      <w:pPr>
        <w:pStyle w:val="Default"/>
        <w:rPr>
          <w:rFonts w:ascii="Century Gothic" w:hAnsi="Century Gothic"/>
          <w:color w:val="auto"/>
          <w:sz w:val="22"/>
          <w:szCs w:val="22"/>
        </w:rPr>
      </w:pPr>
      <w:r w:rsidRPr="0053456A">
        <w:rPr>
          <w:rFonts w:ascii="Century Gothic" w:hAnsi="Century Gothic"/>
          <w:color w:val="auto"/>
          <w:sz w:val="22"/>
          <w:szCs w:val="22"/>
        </w:rPr>
        <w:t>Fait à</w:t>
      </w:r>
      <w:r w:rsidR="00E53A02" w:rsidRPr="0053456A">
        <w:rPr>
          <w:rFonts w:ascii="Century Gothic" w:hAnsi="Century Gothic"/>
          <w:color w:val="auto"/>
          <w:sz w:val="22"/>
          <w:szCs w:val="22"/>
        </w:rPr>
        <w:t>..................</w:t>
      </w:r>
      <w:r w:rsidRPr="0053456A">
        <w:rPr>
          <w:rFonts w:ascii="Century Gothic" w:hAnsi="Century Gothic"/>
          <w:color w:val="auto"/>
          <w:sz w:val="22"/>
          <w:szCs w:val="22"/>
        </w:rPr>
        <w:t xml:space="preserve"> , le</w:t>
      </w:r>
      <w:r w:rsidR="00E53A02" w:rsidRPr="0053456A">
        <w:rPr>
          <w:rFonts w:ascii="Century Gothic" w:hAnsi="Century Gothic"/>
          <w:color w:val="auto"/>
          <w:sz w:val="22"/>
          <w:szCs w:val="22"/>
        </w:rPr>
        <w:t>................</w:t>
      </w:r>
      <w:r w:rsidRPr="0053456A">
        <w:rPr>
          <w:rFonts w:ascii="Century Gothic" w:hAnsi="Century Gothic"/>
          <w:color w:val="auto"/>
          <w:sz w:val="22"/>
          <w:szCs w:val="22"/>
        </w:rPr>
        <w:t xml:space="preserve"> 202</w:t>
      </w:r>
      <w:r w:rsidR="00AF7AE6">
        <w:rPr>
          <w:rFonts w:ascii="Century Gothic" w:hAnsi="Century Gothic"/>
          <w:color w:val="auto"/>
          <w:sz w:val="22"/>
          <w:szCs w:val="22"/>
        </w:rPr>
        <w:t>6</w:t>
      </w:r>
      <w:r w:rsidRPr="0053456A">
        <w:rPr>
          <w:rFonts w:ascii="Century Gothic" w:hAnsi="Century Gothic"/>
          <w:color w:val="auto"/>
          <w:sz w:val="22"/>
          <w:szCs w:val="22"/>
        </w:rPr>
        <w:t xml:space="preserve"> </w:t>
      </w:r>
    </w:p>
    <w:p w14:paraId="780DE42D" w14:textId="77777777" w:rsidR="00533209" w:rsidRPr="0053456A" w:rsidRDefault="00533209" w:rsidP="00533209">
      <w:pPr>
        <w:rPr>
          <w:rFonts w:ascii="Century Gothic" w:hAnsi="Century Gothic"/>
        </w:rPr>
      </w:pPr>
      <w:r w:rsidRPr="0053456A">
        <w:rPr>
          <w:rFonts w:ascii="Century Gothic" w:hAnsi="Century Gothic"/>
        </w:rPr>
        <w:t>Le Maire</w:t>
      </w:r>
    </w:p>
    <w:p w14:paraId="47F7897C" w14:textId="77777777" w:rsidR="00533209" w:rsidRPr="0053456A" w:rsidRDefault="00533209" w:rsidP="00533209">
      <w:pPr>
        <w:pStyle w:val="Default"/>
        <w:rPr>
          <w:rFonts w:ascii="Century Gothic" w:hAnsi="Century Gothic"/>
          <w:sz w:val="22"/>
          <w:szCs w:val="22"/>
        </w:rPr>
      </w:pPr>
    </w:p>
    <w:p w14:paraId="6525CC50" w14:textId="77777777" w:rsidR="00533209" w:rsidRDefault="00533209" w:rsidP="00533209">
      <w:pPr>
        <w:pStyle w:val="Default"/>
        <w:rPr>
          <w:sz w:val="22"/>
          <w:szCs w:val="22"/>
        </w:rPr>
      </w:pPr>
    </w:p>
    <w:sectPr w:rsidR="00533209" w:rsidSect="0053456A">
      <w:headerReference w:type="default" r:id="rId6"/>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CC34" w14:textId="77777777" w:rsidR="00615609" w:rsidRDefault="00615609" w:rsidP="00533209">
      <w:pPr>
        <w:spacing w:line="240" w:lineRule="auto"/>
      </w:pPr>
      <w:r>
        <w:separator/>
      </w:r>
    </w:p>
  </w:endnote>
  <w:endnote w:type="continuationSeparator" w:id="0">
    <w:p w14:paraId="3FE45642" w14:textId="77777777" w:rsidR="00615609" w:rsidRDefault="00615609" w:rsidP="00533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3EAC" w14:textId="77777777" w:rsidR="00615609" w:rsidRDefault="00615609" w:rsidP="00533209">
      <w:pPr>
        <w:spacing w:line="240" w:lineRule="auto"/>
      </w:pPr>
      <w:r>
        <w:separator/>
      </w:r>
    </w:p>
  </w:footnote>
  <w:footnote w:type="continuationSeparator" w:id="0">
    <w:p w14:paraId="731D2CF6" w14:textId="77777777" w:rsidR="00615609" w:rsidRDefault="00615609" w:rsidP="005332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DA59" w14:textId="38C31DCF" w:rsidR="00533209" w:rsidRPr="0053456A" w:rsidRDefault="00533209">
    <w:pPr>
      <w:pStyle w:val="En-tte"/>
      <w:rPr>
        <w:rFonts w:ascii="Century Gothic" w:hAnsi="Century Gothic"/>
      </w:rPr>
    </w:pPr>
    <w:r w:rsidRPr="0053456A">
      <w:rPr>
        <w:rFonts w:ascii="Century Gothic" w:hAnsi="Century Gothic"/>
      </w:rPr>
      <w:t>RODP 202</w:t>
    </w:r>
    <w:r w:rsidR="00AF7AE6">
      <w:rPr>
        <w:rFonts w:ascii="Century Gothic" w:hAnsi="Century Gothic"/>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09"/>
    <w:rsid w:val="00032CBC"/>
    <w:rsid w:val="000A2C50"/>
    <w:rsid w:val="00156043"/>
    <w:rsid w:val="001D679E"/>
    <w:rsid w:val="00354624"/>
    <w:rsid w:val="003A3B0B"/>
    <w:rsid w:val="00480CAE"/>
    <w:rsid w:val="00533209"/>
    <w:rsid w:val="0053456A"/>
    <w:rsid w:val="00615609"/>
    <w:rsid w:val="00661C7A"/>
    <w:rsid w:val="00697DFC"/>
    <w:rsid w:val="00783A75"/>
    <w:rsid w:val="00AF7AE6"/>
    <w:rsid w:val="00C12699"/>
    <w:rsid w:val="00C2059B"/>
    <w:rsid w:val="00E53A02"/>
    <w:rsid w:val="00EF1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D44A"/>
  <w15:chartTrackingRefBased/>
  <w15:docId w15:val="{006B1B1E-909B-46C3-8FD8-D990CD6C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C2059B"/>
    <w:pPr>
      <w:framePr w:w="7938" w:h="1985" w:hRule="exact" w:hSpace="141" w:wrap="auto" w:hAnchor="page" w:xAlign="center" w:yAlign="bottom"/>
      <w:spacing w:line="240" w:lineRule="auto"/>
      <w:ind w:left="2835"/>
    </w:pPr>
    <w:rPr>
      <w:rFonts w:ascii="Agency FB" w:eastAsiaTheme="majorEastAsia" w:hAnsi="Agency FB" w:cstheme="majorBidi"/>
      <w:b/>
      <w:i/>
      <w:sz w:val="28"/>
      <w:szCs w:val="24"/>
    </w:rPr>
  </w:style>
  <w:style w:type="paragraph" w:customStyle="1" w:styleId="Default">
    <w:name w:val="Default"/>
    <w:rsid w:val="00533209"/>
    <w:pPr>
      <w:autoSpaceDE w:val="0"/>
      <w:autoSpaceDN w:val="0"/>
      <w:adjustRightInd w:val="0"/>
      <w:spacing w:line="240" w:lineRule="auto"/>
    </w:pPr>
    <w:rPr>
      <w:rFonts w:ascii="Calibri" w:hAnsi="Calibri" w:cs="Calibri"/>
      <w:color w:val="000000"/>
      <w:sz w:val="24"/>
      <w:szCs w:val="24"/>
    </w:rPr>
  </w:style>
  <w:style w:type="paragraph" w:styleId="En-tte">
    <w:name w:val="header"/>
    <w:basedOn w:val="Normal"/>
    <w:link w:val="En-tteCar"/>
    <w:uiPriority w:val="99"/>
    <w:unhideWhenUsed/>
    <w:rsid w:val="00533209"/>
    <w:pPr>
      <w:tabs>
        <w:tab w:val="center" w:pos="4536"/>
        <w:tab w:val="right" w:pos="9072"/>
      </w:tabs>
      <w:spacing w:line="240" w:lineRule="auto"/>
    </w:pPr>
  </w:style>
  <w:style w:type="character" w:customStyle="1" w:styleId="En-tteCar">
    <w:name w:val="En-tête Car"/>
    <w:basedOn w:val="Policepardfaut"/>
    <w:link w:val="En-tte"/>
    <w:uiPriority w:val="99"/>
    <w:rsid w:val="00533209"/>
  </w:style>
  <w:style w:type="paragraph" w:styleId="Pieddepage">
    <w:name w:val="footer"/>
    <w:basedOn w:val="Normal"/>
    <w:link w:val="PieddepageCar"/>
    <w:uiPriority w:val="99"/>
    <w:unhideWhenUsed/>
    <w:rsid w:val="00533209"/>
    <w:pPr>
      <w:tabs>
        <w:tab w:val="center" w:pos="4536"/>
        <w:tab w:val="right" w:pos="9072"/>
      </w:tabs>
      <w:spacing w:line="240" w:lineRule="auto"/>
    </w:pPr>
  </w:style>
  <w:style w:type="character" w:customStyle="1" w:styleId="PieddepageCar">
    <w:name w:val="Pied de page Car"/>
    <w:basedOn w:val="Policepardfaut"/>
    <w:link w:val="Pieddepage"/>
    <w:uiPriority w:val="99"/>
    <w:rsid w:val="0053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1421</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JALABERT</dc:creator>
  <cp:keywords/>
  <dc:description/>
  <cp:lastModifiedBy>Léa PINON</cp:lastModifiedBy>
  <cp:revision>3</cp:revision>
  <cp:lastPrinted>2022-05-10T12:17:00Z</cp:lastPrinted>
  <dcterms:created xsi:type="dcterms:W3CDTF">2026-03-17T10:34:00Z</dcterms:created>
  <dcterms:modified xsi:type="dcterms:W3CDTF">2026-03-17T10:58:00Z</dcterms:modified>
</cp:coreProperties>
</file>